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D37" w:rsidRDefault="006E1D37" w:rsidP="006E1D37">
      <w:pPr>
        <w:jc w:val="center"/>
        <w:rPr>
          <w:rFonts w:ascii="Arial" w:hAnsi="Arial" w:cs="Arial"/>
          <w:b/>
          <w:bCs/>
          <w:caps/>
          <w:u w:val="single"/>
        </w:rPr>
      </w:pPr>
      <w:r w:rsidRPr="006E1D37">
        <w:rPr>
          <w:rFonts w:ascii="Arial" w:eastAsia="Calibri" w:hAnsi="Arial" w:cs="Arial"/>
          <w:bCs/>
          <w:noProof/>
          <w:sz w:val="32"/>
          <w:szCs w:val="32"/>
        </w:rPr>
        <w:drawing>
          <wp:anchor distT="0" distB="0" distL="114300" distR="114300" simplePos="0" relativeHeight="251659264" behindDoc="0" locked="0" layoutInCell="1" allowOverlap="1" wp14:anchorId="3587BA46" wp14:editId="3301E4B3">
            <wp:simplePos x="0" y="0"/>
            <wp:positionH relativeFrom="margin">
              <wp:posOffset>2733675</wp:posOffset>
            </wp:positionH>
            <wp:positionV relativeFrom="paragraph">
              <wp:posOffset>-282971</wp:posOffset>
            </wp:positionV>
            <wp:extent cx="1597660" cy="554751"/>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braryLogo.gif"/>
                    <pic:cNvPicPr/>
                  </pic:nvPicPr>
                  <pic:blipFill>
                    <a:blip r:embed="rId7">
                      <a:extLst>
                        <a:ext uri="{28A0092B-C50C-407E-A947-70E740481C1C}">
                          <a14:useLocalDpi xmlns:a14="http://schemas.microsoft.com/office/drawing/2010/main" val="0"/>
                        </a:ext>
                      </a:extLst>
                    </a:blip>
                    <a:stretch>
                      <a:fillRect/>
                    </a:stretch>
                  </pic:blipFill>
                  <pic:spPr>
                    <a:xfrm>
                      <a:off x="0" y="0"/>
                      <a:ext cx="1621151" cy="562908"/>
                    </a:xfrm>
                    <a:prstGeom prst="rect">
                      <a:avLst/>
                    </a:prstGeom>
                  </pic:spPr>
                </pic:pic>
              </a:graphicData>
            </a:graphic>
            <wp14:sizeRelH relativeFrom="margin">
              <wp14:pctWidth>0</wp14:pctWidth>
            </wp14:sizeRelH>
            <wp14:sizeRelV relativeFrom="margin">
              <wp14:pctHeight>0</wp14:pctHeight>
            </wp14:sizeRelV>
          </wp:anchor>
        </w:drawing>
      </w:r>
      <w:r w:rsidR="00B67FAC">
        <w:rPr>
          <w:rFonts w:ascii="Arial" w:hAnsi="Arial" w:cs="Arial"/>
          <w:b/>
          <w:bCs/>
          <w:caps/>
          <w:u w:val="single"/>
        </w:rPr>
        <w:t>0</w:t>
      </w:r>
    </w:p>
    <w:p w:rsidR="00F13516" w:rsidRDefault="006E1D37" w:rsidP="006E1D37">
      <w:pPr>
        <w:jc w:val="center"/>
        <w:rPr>
          <w:rFonts w:ascii="Arial" w:hAnsi="Arial" w:cs="Arial"/>
          <w:b/>
          <w:bCs/>
          <w:caps/>
          <w:u w:val="single"/>
        </w:rPr>
      </w:pPr>
      <w:r w:rsidRPr="006E1D37">
        <w:rPr>
          <w:rFonts w:ascii="Arial" w:hAnsi="Arial" w:cs="Arial"/>
          <w:b/>
          <w:bCs/>
          <w:caps/>
          <w:u w:val="single"/>
        </w:rPr>
        <w:t>Making the Most of Micromedex</w:t>
      </w:r>
    </w:p>
    <w:p w:rsidR="003F5B77" w:rsidRPr="003F5B77" w:rsidRDefault="00CF0229" w:rsidP="00746F86">
      <w:pPr>
        <w:spacing w:before="120" w:after="120" w:line="240" w:lineRule="auto"/>
        <w:jc w:val="center"/>
        <w:rPr>
          <w:rFonts w:asciiTheme="minorHAnsi" w:eastAsia="Times New Roman" w:hAnsiTheme="minorHAnsi" w:cs="Arial"/>
        </w:rPr>
      </w:pPr>
      <w:hyperlink r:id="rId8" w:history="1">
        <w:r w:rsidR="003F5B77" w:rsidRPr="003F5B77">
          <w:rPr>
            <w:rFonts w:asciiTheme="minorHAnsi" w:eastAsia="Times New Roman" w:hAnsiTheme="minorHAnsi" w:cs="Arial"/>
            <w:color w:val="0000FF"/>
            <w:u w:val="single"/>
          </w:rPr>
          <w:t>www.cod.edu/library</w:t>
        </w:r>
      </w:hyperlink>
      <w:r w:rsidR="003F5B77" w:rsidRPr="003F5B77">
        <w:rPr>
          <w:rFonts w:asciiTheme="minorHAnsi" w:eastAsia="Times New Roman" w:hAnsiTheme="minorHAnsi" w:cs="Arial"/>
        </w:rPr>
        <w:t xml:space="preserve">  </w:t>
      </w:r>
      <w:r w:rsidR="003F5B77" w:rsidRPr="003F5B77">
        <w:rPr>
          <w:rFonts w:asciiTheme="minorHAnsi" w:eastAsia="Times New Roman" w:hAnsiTheme="minorHAnsi" w:cs="Arial"/>
        </w:rPr>
        <w:sym w:font="Wingdings" w:char="F0E0"/>
      </w:r>
      <w:r w:rsidR="003F5B77" w:rsidRPr="003F5B77">
        <w:rPr>
          <w:rFonts w:asciiTheme="minorHAnsi" w:eastAsia="Times New Roman" w:hAnsiTheme="minorHAnsi" w:cs="Arial"/>
        </w:rPr>
        <w:t xml:space="preserve">  </w:t>
      </w:r>
      <w:r w:rsidR="003F5B77" w:rsidRPr="003F5B77">
        <w:rPr>
          <w:rFonts w:asciiTheme="minorHAnsi" w:eastAsia="Times New Roman" w:hAnsiTheme="minorHAnsi" w:cs="Arial"/>
          <w:b/>
        </w:rPr>
        <w:t>Databases</w:t>
      </w:r>
      <w:r w:rsidR="003F5B77" w:rsidRPr="003F5B77">
        <w:rPr>
          <w:rFonts w:asciiTheme="minorHAnsi" w:eastAsia="Times New Roman" w:hAnsiTheme="minorHAnsi" w:cs="Arial"/>
        </w:rPr>
        <w:t xml:space="preserve"> tab </w:t>
      </w:r>
      <w:r w:rsidR="003F5B77" w:rsidRPr="003F5B77">
        <w:rPr>
          <w:rFonts w:asciiTheme="minorHAnsi" w:eastAsia="Times New Roman" w:hAnsiTheme="minorHAnsi" w:cs="Arial"/>
        </w:rPr>
        <w:sym w:font="Wingdings" w:char="F0E0"/>
      </w:r>
      <w:r w:rsidR="003F5B77" w:rsidRPr="003F5B77">
        <w:rPr>
          <w:rFonts w:asciiTheme="minorHAnsi" w:eastAsia="Times New Roman" w:hAnsiTheme="minorHAnsi" w:cs="Arial"/>
        </w:rPr>
        <w:t xml:space="preserve"> </w:t>
      </w:r>
      <w:r w:rsidR="003F5B77" w:rsidRPr="003F5B77">
        <w:rPr>
          <w:rFonts w:asciiTheme="minorHAnsi" w:eastAsia="Times New Roman" w:hAnsiTheme="minorHAnsi" w:cs="Arial"/>
          <w:b/>
          <w:bCs/>
          <w:i/>
        </w:rPr>
        <w:t xml:space="preserve">Databases by Title </w:t>
      </w:r>
      <w:r w:rsidR="003F5B77" w:rsidRPr="003F5B77">
        <w:rPr>
          <w:rFonts w:asciiTheme="minorHAnsi" w:eastAsia="Times New Roman" w:hAnsiTheme="minorHAnsi" w:cs="Arial"/>
          <w:bCs/>
        </w:rPr>
        <w:t>tab</w:t>
      </w:r>
      <w:r w:rsidR="003F5B77" w:rsidRPr="003F5B77">
        <w:rPr>
          <w:rFonts w:asciiTheme="minorHAnsi" w:eastAsia="Times New Roman" w:hAnsiTheme="minorHAnsi" w:cs="Arial"/>
          <w:bCs/>
        </w:rPr>
        <w:sym w:font="Wingdings" w:char="F0E0"/>
      </w:r>
      <w:r w:rsidR="003F5B77" w:rsidRPr="003F5B77">
        <w:rPr>
          <w:rFonts w:asciiTheme="minorHAnsi" w:eastAsia="Times New Roman" w:hAnsiTheme="minorHAnsi" w:cs="Arial"/>
          <w:b/>
          <w:bCs/>
        </w:rPr>
        <w:t>Micromedex Healthcare Series</w:t>
      </w:r>
    </w:p>
    <w:p w:rsidR="00746F86" w:rsidRPr="00746F86" w:rsidRDefault="00746F86" w:rsidP="00746F86">
      <w:pPr>
        <w:rPr>
          <w:rFonts w:ascii="Arial" w:hAnsi="Arial" w:cs="Arial"/>
          <w:bCs/>
          <w:sz w:val="22"/>
          <w:szCs w:val="22"/>
        </w:rPr>
      </w:pPr>
      <w:r w:rsidRPr="00746F86">
        <w:rPr>
          <w:rFonts w:ascii="Arial" w:hAnsi="Arial" w:cs="Arial"/>
          <w:bCs/>
          <w:sz w:val="22"/>
          <w:szCs w:val="22"/>
        </w:rPr>
        <w:t xml:space="preserve">The Library contains multiple print drug handbooks, manuals and resources (see books, videos &amp; models section of the Nursing guide) and the Websites section of the guide links to various Internet (freely available) sites. </w:t>
      </w:r>
    </w:p>
    <w:p w:rsidR="00746F86" w:rsidRPr="00746F86" w:rsidRDefault="00746F86" w:rsidP="00746F86">
      <w:pPr>
        <w:rPr>
          <w:rFonts w:ascii="Arial" w:hAnsi="Arial" w:cs="Arial"/>
          <w:bCs/>
          <w:sz w:val="22"/>
          <w:szCs w:val="22"/>
        </w:rPr>
      </w:pPr>
      <w:proofErr w:type="gramStart"/>
      <w:r w:rsidRPr="00746F86">
        <w:rPr>
          <w:rFonts w:ascii="Arial" w:hAnsi="Arial" w:cs="Arial"/>
          <w:bCs/>
          <w:sz w:val="22"/>
          <w:szCs w:val="22"/>
          <w:highlight w:val="yellow"/>
        </w:rPr>
        <w:t>Your</w:t>
      </w:r>
      <w:proofErr w:type="gramEnd"/>
      <w:r w:rsidRPr="00746F86">
        <w:rPr>
          <w:rFonts w:ascii="Arial" w:hAnsi="Arial" w:cs="Arial"/>
          <w:bCs/>
          <w:sz w:val="22"/>
          <w:szCs w:val="22"/>
          <w:highlight w:val="yellow"/>
        </w:rPr>
        <w:t xml:space="preserve"> BEST BET and </w:t>
      </w:r>
      <w:r w:rsidRPr="00746F86">
        <w:rPr>
          <w:rFonts w:ascii="Arial" w:hAnsi="Arial" w:cs="Arial"/>
          <w:bCs/>
          <w:i/>
          <w:sz w:val="22"/>
          <w:szCs w:val="22"/>
          <w:highlight w:val="yellow"/>
        </w:rPr>
        <w:t>most credible</w:t>
      </w:r>
      <w:r w:rsidRPr="00746F86">
        <w:rPr>
          <w:rFonts w:ascii="Arial" w:hAnsi="Arial" w:cs="Arial"/>
          <w:bCs/>
          <w:sz w:val="22"/>
          <w:szCs w:val="22"/>
          <w:highlight w:val="yellow"/>
        </w:rPr>
        <w:t xml:space="preserve"> drug resource is the </w:t>
      </w:r>
      <w:r w:rsidRPr="00746F86">
        <w:rPr>
          <w:rFonts w:ascii="Arial" w:hAnsi="Arial" w:cs="Arial"/>
          <w:bCs/>
          <w:i/>
          <w:sz w:val="22"/>
          <w:szCs w:val="22"/>
          <w:highlight w:val="yellow"/>
        </w:rPr>
        <w:t>point-of-care clinical database</w:t>
      </w:r>
      <w:r w:rsidRPr="00746F86">
        <w:rPr>
          <w:rFonts w:ascii="Arial" w:hAnsi="Arial" w:cs="Arial"/>
          <w:bCs/>
          <w:sz w:val="22"/>
          <w:szCs w:val="22"/>
          <w:highlight w:val="yellow"/>
        </w:rPr>
        <w:t xml:space="preserve">, </w:t>
      </w:r>
      <w:r w:rsidRPr="00746F86">
        <w:rPr>
          <w:rFonts w:ascii="Arial" w:hAnsi="Arial" w:cs="Arial"/>
          <w:b/>
          <w:bCs/>
          <w:i/>
          <w:sz w:val="22"/>
          <w:szCs w:val="22"/>
          <w:highlight w:val="yellow"/>
        </w:rPr>
        <w:t>Micromedex</w:t>
      </w:r>
      <w:r w:rsidRPr="00746F86">
        <w:rPr>
          <w:rFonts w:ascii="Arial" w:hAnsi="Arial" w:cs="Arial"/>
          <w:bCs/>
          <w:sz w:val="22"/>
          <w:szCs w:val="22"/>
          <w:highlight w:val="yellow"/>
        </w:rPr>
        <w:t>.</w:t>
      </w:r>
    </w:p>
    <w:p w:rsidR="00746F86" w:rsidRPr="00746F86" w:rsidRDefault="00746F86" w:rsidP="00746F86">
      <w:pPr>
        <w:rPr>
          <w:rFonts w:ascii="Arial" w:hAnsi="Arial" w:cs="Arial"/>
          <w:sz w:val="22"/>
          <w:szCs w:val="22"/>
        </w:rPr>
      </w:pPr>
      <w:r w:rsidRPr="00746F86">
        <w:rPr>
          <w:rFonts w:ascii="Arial" w:hAnsi="Arial" w:cs="Arial"/>
          <w:b/>
          <w:bCs/>
          <w:sz w:val="22"/>
          <w:szCs w:val="22"/>
        </w:rPr>
        <w:t>Micromedex Health Care Series</w:t>
      </w:r>
      <w:r w:rsidRPr="00746F86">
        <w:rPr>
          <w:rFonts w:ascii="Arial" w:hAnsi="Arial" w:cs="Arial"/>
          <w:sz w:val="22"/>
          <w:szCs w:val="22"/>
        </w:rPr>
        <w:t xml:space="preserve"> </w:t>
      </w:r>
    </w:p>
    <w:p w:rsidR="00746F86" w:rsidRPr="00746F86" w:rsidRDefault="00746F86" w:rsidP="00746F86">
      <w:pPr>
        <w:spacing w:after="100"/>
        <w:rPr>
          <w:rFonts w:ascii="Arial" w:hAnsi="Arial" w:cs="Arial"/>
          <w:sz w:val="22"/>
          <w:szCs w:val="22"/>
        </w:rPr>
      </w:pPr>
      <w:r w:rsidRPr="00746F86">
        <w:rPr>
          <w:rFonts w:ascii="Arial" w:hAnsi="Arial" w:cs="Arial"/>
          <w:sz w:val="22"/>
          <w:szCs w:val="22"/>
          <w:shd w:val="clear" w:color="auto" w:fill="D9D9D9" w:themeFill="background1" w:themeFillShade="D9"/>
        </w:rPr>
        <w:t xml:space="preserve">**Access from on campus is automatic. Access from off campus requires </w:t>
      </w:r>
      <w:r w:rsidRPr="00746F86">
        <w:rPr>
          <w:rFonts w:ascii="Arial" w:hAnsi="Arial" w:cs="Arial"/>
          <w:i/>
          <w:sz w:val="22"/>
          <w:szCs w:val="22"/>
          <w:shd w:val="clear" w:color="auto" w:fill="D9D9D9" w:themeFill="background1" w:themeFillShade="D9"/>
        </w:rPr>
        <w:t>last name and library barcode</w:t>
      </w:r>
      <w:r w:rsidRPr="00746F86">
        <w:rPr>
          <w:rFonts w:ascii="Arial" w:hAnsi="Arial" w:cs="Arial"/>
          <w:sz w:val="22"/>
          <w:szCs w:val="22"/>
          <w:shd w:val="clear" w:color="auto" w:fill="D9D9D9" w:themeFill="background1" w:themeFillShade="D9"/>
        </w:rPr>
        <w:t>** The “</w:t>
      </w:r>
      <w:r w:rsidRPr="00746F86">
        <w:rPr>
          <w:rFonts w:ascii="Arial" w:hAnsi="Arial" w:cs="Arial"/>
          <w:b/>
          <w:sz w:val="22"/>
          <w:szCs w:val="22"/>
          <w:shd w:val="clear" w:color="auto" w:fill="D9D9D9" w:themeFill="background1" w:themeFillShade="D9"/>
        </w:rPr>
        <w:t>Download Mobile Apps</w:t>
      </w:r>
      <w:r w:rsidRPr="00746F86">
        <w:rPr>
          <w:rFonts w:ascii="Arial" w:hAnsi="Arial" w:cs="Arial"/>
          <w:sz w:val="22"/>
          <w:szCs w:val="22"/>
          <w:shd w:val="clear" w:color="auto" w:fill="D9D9D9" w:themeFill="background1" w:themeFillShade="D9"/>
        </w:rPr>
        <w:t xml:space="preserve">” link contains passwords for </w:t>
      </w:r>
      <w:r w:rsidRPr="00746F86">
        <w:rPr>
          <w:rFonts w:ascii="Arial" w:hAnsi="Arial" w:cs="Arial"/>
          <w:b/>
          <w:sz w:val="22"/>
          <w:szCs w:val="22"/>
          <w:shd w:val="clear" w:color="auto" w:fill="D9D9D9" w:themeFill="background1" w:themeFillShade="D9"/>
        </w:rPr>
        <w:t>free</w:t>
      </w:r>
      <w:r w:rsidRPr="00746F86">
        <w:rPr>
          <w:rFonts w:ascii="Arial" w:hAnsi="Arial" w:cs="Arial"/>
          <w:sz w:val="22"/>
          <w:szCs w:val="22"/>
          <w:shd w:val="clear" w:color="auto" w:fill="D9D9D9" w:themeFill="background1" w:themeFillShade="D9"/>
        </w:rPr>
        <w:t xml:space="preserve"> downloads—</w:t>
      </w:r>
      <w:r w:rsidRPr="00746F86">
        <w:rPr>
          <w:rFonts w:ascii="Arial" w:hAnsi="Arial" w:cs="Arial"/>
          <w:b/>
          <w:i/>
          <w:sz w:val="22"/>
          <w:szCs w:val="22"/>
          <w:shd w:val="clear" w:color="auto" w:fill="D9D9D9" w:themeFill="background1" w:themeFillShade="D9"/>
        </w:rPr>
        <w:t xml:space="preserve">check </w:t>
      </w:r>
      <w:r w:rsidRPr="00746F86">
        <w:rPr>
          <w:rFonts w:ascii="Arial" w:hAnsi="Arial" w:cs="Arial"/>
          <w:b/>
          <w:i/>
          <w:sz w:val="22"/>
          <w:szCs w:val="22"/>
          <w:u w:val="single"/>
          <w:shd w:val="clear" w:color="auto" w:fill="D9D9D9" w:themeFill="background1" w:themeFillShade="D9"/>
        </w:rPr>
        <w:t>COD’s Micromedex</w:t>
      </w:r>
      <w:r w:rsidRPr="00746F86">
        <w:rPr>
          <w:rFonts w:ascii="Arial" w:hAnsi="Arial" w:cs="Arial"/>
          <w:b/>
          <w:i/>
          <w:sz w:val="22"/>
          <w:szCs w:val="22"/>
          <w:shd w:val="clear" w:color="auto" w:fill="D9D9D9" w:themeFill="background1" w:themeFillShade="D9"/>
        </w:rPr>
        <w:t xml:space="preserve"> download page FREQUENTLY as passwords change often with updates! </w:t>
      </w:r>
    </w:p>
    <w:p w:rsidR="00746F86" w:rsidRPr="00746F86" w:rsidRDefault="00746F86" w:rsidP="00746F86">
      <w:pPr>
        <w:pStyle w:val="NormalWeb"/>
        <w:numPr>
          <w:ilvl w:val="0"/>
          <w:numId w:val="1"/>
        </w:numPr>
        <w:spacing w:before="120" w:beforeAutospacing="0" w:after="120" w:afterAutospacing="0"/>
        <w:rPr>
          <w:rFonts w:ascii="Arial" w:hAnsi="Arial" w:cs="Arial"/>
          <w:color w:val="000000"/>
          <w:sz w:val="22"/>
          <w:szCs w:val="22"/>
          <w:lang w:val="en"/>
        </w:rPr>
      </w:pPr>
      <w:r w:rsidRPr="00746F86">
        <w:rPr>
          <w:rFonts w:ascii="Arial" w:hAnsi="Arial" w:cs="Arial"/>
          <w:color w:val="000000"/>
          <w:sz w:val="22"/>
          <w:szCs w:val="22"/>
        </w:rPr>
        <w:t>Micromedex is one of the largest online reference databases about drug information, toxicology, diseases, acute care and alternative medicine. This comprehensive resource provides healthcare professionals with clinical decision support for informed treatment decisions. Micromedex facilitates decision making in the areas of drug information, disease and condition management, toxicology and alternative medicine. It even addresses specific questions, such as IV compatibility and provides lab information to help choose appropriate tests and interpret results.</w:t>
      </w:r>
    </w:p>
    <w:p w:rsidR="00746F86" w:rsidRPr="00C23D28" w:rsidRDefault="00746F86" w:rsidP="00746F86">
      <w:pPr>
        <w:shd w:val="clear" w:color="auto" w:fill="D9D9D9" w:themeFill="background1" w:themeFillShade="D9"/>
        <w:rPr>
          <w:rFonts w:ascii="Arial" w:hAnsi="Arial" w:cs="Arial"/>
          <w:b/>
          <w:sz w:val="28"/>
          <w:szCs w:val="28"/>
        </w:rPr>
      </w:pPr>
      <w:r w:rsidRPr="00C23D28">
        <w:rPr>
          <w:rFonts w:ascii="Arial" w:hAnsi="Arial" w:cs="Arial"/>
          <w:b/>
          <w:sz w:val="28"/>
          <w:szCs w:val="28"/>
          <w:highlight w:val="yellow"/>
        </w:rPr>
        <w:t>** Micromedex has FREE mobile apps for Apple &amp; Android devices**</w:t>
      </w:r>
    </w:p>
    <w:p w:rsidR="00746F86" w:rsidRPr="008158ED" w:rsidRDefault="00746F86" w:rsidP="00746F86">
      <w:pPr>
        <w:jc w:val="center"/>
        <w:rPr>
          <w:rFonts w:ascii="Arial" w:hAnsi="Arial" w:cs="Arial"/>
        </w:rPr>
      </w:pPr>
      <w:r>
        <w:rPr>
          <w:rFonts w:ascii="Arial" w:hAnsi="Arial" w:cs="Arial"/>
          <w:noProof/>
        </w:rPr>
        <w:drawing>
          <wp:inline distT="0" distB="0" distL="0" distR="0" wp14:anchorId="1F358305" wp14:editId="62F0112F">
            <wp:extent cx="6858000" cy="2979420"/>
            <wp:effectExtent l="19050" t="19050" r="19050" b="1143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cromedex8_2019.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858000" cy="2979420"/>
                    </a:xfrm>
                    <a:prstGeom prst="rect">
                      <a:avLst/>
                    </a:prstGeom>
                    <a:ln w="25400">
                      <a:solidFill>
                        <a:schemeClr val="tx1"/>
                      </a:solidFill>
                    </a:ln>
                  </pic:spPr>
                </pic:pic>
              </a:graphicData>
            </a:graphic>
          </wp:inline>
        </w:drawing>
      </w:r>
    </w:p>
    <w:p w:rsidR="006E1D37" w:rsidRPr="006E1D37" w:rsidRDefault="006E1D37" w:rsidP="006E1D37">
      <w:pPr>
        <w:rPr>
          <w:rFonts w:ascii="Arial" w:eastAsia="Calibri" w:hAnsi="Arial" w:cs="Arial"/>
          <w:b/>
          <w:bCs/>
          <w:caps/>
          <w:u w:val="single"/>
        </w:rPr>
      </w:pPr>
      <w:r w:rsidRPr="006E1D37">
        <w:rPr>
          <w:rFonts w:ascii="Arial" w:eastAsia="Calibri" w:hAnsi="Arial" w:cs="Arial"/>
          <w:b/>
          <w:bCs/>
          <w:caps/>
          <w:u w:val="single"/>
        </w:rPr>
        <w:t>Customizable Patient Education</w:t>
      </w:r>
    </w:p>
    <w:p w:rsidR="006E1D37" w:rsidRPr="006E1D37" w:rsidRDefault="006E1D37" w:rsidP="006E1D37">
      <w:pPr>
        <w:rPr>
          <w:rFonts w:ascii="Arial" w:eastAsia="Calibri" w:hAnsi="Arial" w:cs="Arial"/>
          <w:b/>
          <w:bCs/>
          <w:sz w:val="22"/>
          <w:szCs w:val="22"/>
        </w:rPr>
      </w:pPr>
      <w:r w:rsidRPr="006E1D37">
        <w:rPr>
          <w:rFonts w:ascii="Arial" w:eastAsia="Calibri" w:hAnsi="Arial" w:cs="Arial"/>
          <w:b/>
          <w:bCs/>
          <w:sz w:val="22"/>
          <w:szCs w:val="22"/>
        </w:rPr>
        <w:t>CareNotes (available from within Micr</w:t>
      </w:r>
      <w:bookmarkStart w:id="0" w:name="_GoBack"/>
      <w:bookmarkEnd w:id="0"/>
      <w:r w:rsidRPr="006E1D37">
        <w:rPr>
          <w:rFonts w:ascii="Arial" w:eastAsia="Calibri" w:hAnsi="Arial" w:cs="Arial"/>
          <w:b/>
          <w:bCs/>
          <w:sz w:val="22"/>
          <w:szCs w:val="22"/>
        </w:rPr>
        <w:t>omedex)</w:t>
      </w:r>
    </w:p>
    <w:p w:rsidR="006E1D37" w:rsidRPr="006E1D37" w:rsidRDefault="006E1D37" w:rsidP="006E1D37">
      <w:pPr>
        <w:numPr>
          <w:ilvl w:val="0"/>
          <w:numId w:val="1"/>
        </w:numPr>
        <w:contextualSpacing/>
        <w:rPr>
          <w:rFonts w:ascii="Arial" w:eastAsia="Calibri" w:hAnsi="Arial" w:cs="Arial"/>
          <w:sz w:val="22"/>
          <w:szCs w:val="22"/>
        </w:rPr>
      </w:pPr>
      <w:r w:rsidRPr="006E1D37">
        <w:rPr>
          <w:rFonts w:ascii="Arial" w:eastAsia="Calibri" w:hAnsi="Arial" w:cs="Arial"/>
          <w:sz w:val="22"/>
          <w:szCs w:val="22"/>
          <w:lang w:val="en"/>
        </w:rPr>
        <w:t xml:space="preserve">CareNotes documents provide easy-to-understand information about all aspects of care and health. Presented in English and Spanish (and up to 13 other languages), the System's concise, </w:t>
      </w:r>
      <w:r w:rsidRPr="00746F86">
        <w:rPr>
          <w:rFonts w:ascii="Arial" w:eastAsia="Calibri" w:hAnsi="Arial" w:cs="Arial"/>
          <w:b/>
          <w:i/>
          <w:sz w:val="22"/>
          <w:szCs w:val="22"/>
          <w:lang w:val="en"/>
        </w:rPr>
        <w:t>customizable</w:t>
      </w:r>
      <w:r w:rsidRPr="00746F86">
        <w:rPr>
          <w:rFonts w:ascii="Arial" w:eastAsia="Calibri" w:hAnsi="Arial" w:cs="Arial"/>
          <w:b/>
          <w:sz w:val="22"/>
          <w:szCs w:val="22"/>
          <w:lang w:val="en"/>
        </w:rPr>
        <w:t xml:space="preserve"> </w:t>
      </w:r>
      <w:r w:rsidRPr="006E1D37">
        <w:rPr>
          <w:rFonts w:ascii="Arial" w:eastAsia="Calibri" w:hAnsi="Arial" w:cs="Arial"/>
          <w:sz w:val="22"/>
          <w:szCs w:val="22"/>
          <w:lang w:val="en"/>
        </w:rPr>
        <w:t>materials address patient condition, treatment, laboratory tests, follow-up care, psychosocial issues, continuing health, and the most frequently administered drugs. CareNotes information also helps meet JCAHO patient education guidelines.</w:t>
      </w:r>
    </w:p>
    <w:sectPr w:rsidR="006E1D37" w:rsidRPr="006E1D37" w:rsidSect="006E1D37">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0229" w:rsidRDefault="00CF0229" w:rsidP="006E1D37">
      <w:pPr>
        <w:spacing w:after="0" w:line="240" w:lineRule="auto"/>
      </w:pPr>
      <w:r>
        <w:separator/>
      </w:r>
    </w:p>
  </w:endnote>
  <w:endnote w:type="continuationSeparator" w:id="0">
    <w:p w:rsidR="00CF0229" w:rsidRDefault="00CF0229" w:rsidP="006E1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0229" w:rsidRDefault="00CF0229" w:rsidP="006E1D37">
      <w:pPr>
        <w:spacing w:after="0" w:line="240" w:lineRule="auto"/>
      </w:pPr>
      <w:r>
        <w:separator/>
      </w:r>
    </w:p>
  </w:footnote>
  <w:footnote w:type="continuationSeparator" w:id="0">
    <w:p w:rsidR="00CF0229" w:rsidRDefault="00CF0229" w:rsidP="006E1D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D37" w:rsidRPr="006E1D37" w:rsidRDefault="006E1D37">
    <w:pPr>
      <w:pStyle w:val="Header"/>
      <w:rPr>
        <w:rFonts w:asciiTheme="minorHAnsi" w:hAnsiTheme="minorHAnsi"/>
        <w:sz w:val="20"/>
        <w:szCs w:val="20"/>
      </w:rPr>
    </w:pPr>
    <w:r w:rsidRPr="006E1D37">
      <w:rPr>
        <w:rFonts w:asciiTheme="minorHAnsi" w:hAnsiTheme="minorHAnsi"/>
        <w:sz w:val="20"/>
        <w:szCs w:val="20"/>
      </w:rPr>
      <w:t xml:space="preserve">Debra J. K. Smith </w:t>
    </w:r>
    <w:r w:rsidR="00DB29AD">
      <w:rPr>
        <w:rFonts w:asciiTheme="minorHAnsi" w:hAnsiTheme="minorHAnsi"/>
        <w:sz w:val="20"/>
        <w:szCs w:val="20"/>
      </w:rPr>
      <w:tab/>
    </w:r>
    <w:r w:rsidR="00DB29AD">
      <w:rPr>
        <w:rFonts w:asciiTheme="minorHAnsi" w:hAnsiTheme="minorHAnsi"/>
        <w:sz w:val="20"/>
        <w:szCs w:val="20"/>
      </w:rPr>
      <w:tab/>
    </w:r>
    <w:r w:rsidRPr="006E1D37">
      <w:rPr>
        <w:rFonts w:asciiTheme="minorHAnsi" w:hAnsiTheme="minorHAnsi"/>
        <w:sz w:val="20"/>
        <w:szCs w:val="20"/>
      </w:rPr>
      <w:t>rev.</w:t>
    </w:r>
    <w:r w:rsidR="00746F86">
      <w:rPr>
        <w:rFonts w:asciiTheme="minorHAnsi" w:hAnsiTheme="minorHAnsi"/>
        <w:sz w:val="20"/>
        <w:szCs w:val="20"/>
      </w:rPr>
      <w:t xml:space="preserve"> 8/19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22E22"/>
    <w:multiLevelType w:val="hybridMultilevel"/>
    <w:tmpl w:val="D0420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D37"/>
    <w:rsid w:val="00051E46"/>
    <w:rsid w:val="003F5B77"/>
    <w:rsid w:val="00433F87"/>
    <w:rsid w:val="006E1D37"/>
    <w:rsid w:val="00746F86"/>
    <w:rsid w:val="00924DA7"/>
    <w:rsid w:val="00AA515C"/>
    <w:rsid w:val="00B204A3"/>
    <w:rsid w:val="00B67FAC"/>
    <w:rsid w:val="00CF0229"/>
    <w:rsid w:val="00DB29AD"/>
    <w:rsid w:val="00F13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16ACC"/>
  <w15:chartTrackingRefBased/>
  <w15:docId w15:val="{710063CC-9C0D-4D33-9D3E-63CB51D8C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D37"/>
    <w:pPr>
      <w:spacing w:after="200" w:line="276"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1D37"/>
    <w:pPr>
      <w:spacing w:before="100" w:beforeAutospacing="1" w:after="100" w:afterAutospacing="1" w:line="240" w:lineRule="auto"/>
    </w:pPr>
    <w:rPr>
      <w:rFonts w:eastAsia="Times New Roman"/>
    </w:rPr>
  </w:style>
  <w:style w:type="paragraph" w:styleId="Header">
    <w:name w:val="header"/>
    <w:basedOn w:val="Normal"/>
    <w:link w:val="HeaderChar"/>
    <w:uiPriority w:val="99"/>
    <w:unhideWhenUsed/>
    <w:rsid w:val="006E1D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D37"/>
    <w:rPr>
      <w:rFonts w:ascii="Times New Roman" w:hAnsi="Times New Roman" w:cs="Times New Roman"/>
      <w:sz w:val="24"/>
      <w:szCs w:val="24"/>
    </w:rPr>
  </w:style>
  <w:style w:type="paragraph" w:styleId="Footer">
    <w:name w:val="footer"/>
    <w:basedOn w:val="Normal"/>
    <w:link w:val="FooterChar"/>
    <w:uiPriority w:val="99"/>
    <w:unhideWhenUsed/>
    <w:rsid w:val="006E1D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D37"/>
    <w:rPr>
      <w:rFonts w:ascii="Times New Roman" w:hAnsi="Times New Roman" w:cs="Times New Roman"/>
      <w:sz w:val="24"/>
      <w:szCs w:val="24"/>
    </w:rPr>
  </w:style>
  <w:style w:type="character" w:styleId="Hyperlink">
    <w:name w:val="Hyperlink"/>
    <w:basedOn w:val="DefaultParagraphFont"/>
    <w:uiPriority w:val="99"/>
    <w:unhideWhenUsed/>
    <w:rsid w:val="006E1D37"/>
    <w:rPr>
      <w:color w:val="0563C1" w:themeColor="hyperlink"/>
      <w:u w:val="single"/>
    </w:rPr>
  </w:style>
  <w:style w:type="paragraph" w:styleId="BalloonText">
    <w:name w:val="Balloon Text"/>
    <w:basedOn w:val="Normal"/>
    <w:link w:val="BalloonTextChar"/>
    <w:uiPriority w:val="99"/>
    <w:semiHidden/>
    <w:unhideWhenUsed/>
    <w:rsid w:val="00B67F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F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d.edu/library"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287</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College of DuPage</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Debra</dc:creator>
  <cp:keywords/>
  <dc:description/>
  <cp:lastModifiedBy>Smith, Debra</cp:lastModifiedBy>
  <cp:revision>3</cp:revision>
  <cp:lastPrinted>2016-02-09T14:32:00Z</cp:lastPrinted>
  <dcterms:created xsi:type="dcterms:W3CDTF">2019-08-08T15:51:00Z</dcterms:created>
  <dcterms:modified xsi:type="dcterms:W3CDTF">2019-08-08T15:57:00Z</dcterms:modified>
</cp:coreProperties>
</file>